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91A2C" w:rsidRDefault="001975C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sdt>
        <w:sdtPr>
          <w:tag w:val="goog_rdk_0"/>
          <w:id w:val="80803608"/>
        </w:sdtPr>
        <w:sdtEndPr/>
        <w:sdtContent/>
      </w:sdt>
      <w:r>
        <w:rPr>
          <w:rFonts w:ascii="Arial" w:eastAsia="Arial" w:hAnsi="Arial" w:cs="Arial"/>
          <w:b/>
          <w:color w:val="000000"/>
          <w:sz w:val="36"/>
          <w:szCs w:val="36"/>
        </w:rPr>
        <w:t>Joint</w:t>
      </w:r>
      <w:r>
        <w:rPr>
          <w:rFonts w:ascii="Arial" w:eastAsia="Arial" w:hAnsi="Arial" w:cs="Arial"/>
          <w:b/>
          <w:color w:val="000000"/>
          <w:sz w:val="36"/>
          <w:szCs w:val="36"/>
        </w:rPr>
        <w:t xml:space="preserve"> Schedule 11 (Processing Data)</w:t>
      </w:r>
    </w:p>
    <w:p w14:paraId="00000002" w14:textId="77777777" w:rsidR="00891A2C" w:rsidRDefault="00891A2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00000003" w14:textId="77777777" w:rsidR="00891A2C" w:rsidRDefault="001975C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00000004"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5"/>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891A2C" w14:paraId="671E0C5E" w14:textId="77777777">
        <w:tc>
          <w:tcPr>
            <w:tcW w:w="2263" w:type="dxa"/>
          </w:tcPr>
          <w:p w14:paraId="00000005" w14:textId="77777777" w:rsidR="00891A2C" w:rsidRDefault="001975C3">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00000006" w14:textId="77777777" w:rsidR="00891A2C" w:rsidRDefault="001975C3">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00000007" w14:textId="77777777" w:rsidR="00891A2C" w:rsidRDefault="001975C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00000008"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w:t>
      </w:r>
      <w:r>
        <w:rPr>
          <w:rFonts w:ascii="Arial" w:eastAsia="Arial" w:hAnsi="Arial" w:cs="Arial"/>
          <w:sz w:val="24"/>
          <w:szCs w:val="24"/>
        </w:rPr>
        <w:t>rty may act as:</w:t>
      </w:r>
    </w:p>
    <w:p w14:paraId="00000009" w14:textId="77777777" w:rsidR="00891A2C" w:rsidRDefault="001975C3">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0000000A" w14:textId="77777777" w:rsidR="00891A2C" w:rsidRDefault="001975C3">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0000000B" w14:textId="77777777" w:rsidR="00891A2C" w:rsidRDefault="001975C3">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0000000C" w14:textId="77777777" w:rsidR="00891A2C" w:rsidRDefault="001975C3">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w:t>
      </w:r>
      <w:r>
        <w:rPr>
          <w:rFonts w:ascii="Arial" w:eastAsia="Arial" w:hAnsi="Arial" w:cs="Arial"/>
          <w:sz w:val="24"/>
          <w:szCs w:val="24"/>
        </w:rPr>
        <w:t>lso “Controller”,</w:t>
      </w:r>
    </w:p>
    <w:p w14:paraId="0000000D" w14:textId="77777777" w:rsidR="00891A2C" w:rsidRDefault="001975C3">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0000000E" w14:textId="77777777" w:rsidR="00891A2C" w:rsidRDefault="001975C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0000000F"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00000010"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w:t>
      </w:r>
      <w:r>
        <w:rPr>
          <w:rFonts w:ascii="Arial" w:eastAsia="Arial" w:hAnsi="Arial" w:cs="Arial"/>
          <w:sz w:val="24"/>
          <w:szCs w:val="24"/>
        </w:rPr>
        <w:t>s infringe the Data Protection Legislation.</w:t>
      </w:r>
    </w:p>
    <w:p w14:paraId="00000011"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w:t>
      </w:r>
      <w:r>
        <w:rPr>
          <w:rFonts w:ascii="Arial" w:eastAsia="Arial" w:hAnsi="Arial" w:cs="Arial"/>
          <w:sz w:val="24"/>
          <w:szCs w:val="24"/>
        </w:rPr>
        <w:t>he Controller, include:</w:t>
      </w:r>
    </w:p>
    <w:p w14:paraId="00000012"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00000013"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00000014"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w:t>
      </w:r>
      <w:r>
        <w:rPr>
          <w:rFonts w:ascii="Arial" w:eastAsia="Arial" w:hAnsi="Arial" w:cs="Arial"/>
          <w:sz w:val="24"/>
          <w:szCs w:val="24"/>
        </w:rPr>
        <w:t>nd freedoms of Data Subjects; and</w:t>
      </w:r>
    </w:p>
    <w:p w14:paraId="00000015"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00000016"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w:t>
      </w:r>
      <w:r>
        <w:rPr>
          <w:rFonts w:ascii="Arial" w:eastAsia="Arial" w:hAnsi="Arial" w:cs="Arial"/>
          <w:sz w:val="24"/>
          <w:szCs w:val="24"/>
        </w:rPr>
        <w:t>ith its obligations under the Contract:</w:t>
      </w:r>
    </w:p>
    <w:p w14:paraId="00000017"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w:t>
      </w:r>
      <w:r>
        <w:rPr>
          <w:rFonts w:ascii="Arial" w:eastAsia="Arial" w:hAnsi="Arial" w:cs="Arial"/>
          <w:sz w:val="24"/>
          <w:szCs w:val="24"/>
        </w:rPr>
        <w:t>ocessing the Personal Data unless prohibited by Law;</w:t>
      </w:r>
    </w:p>
    <w:p w14:paraId="00000018"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00000019" w14:textId="77777777" w:rsidR="00891A2C" w:rsidRDefault="001975C3">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0000001A" w14:textId="77777777" w:rsidR="00891A2C" w:rsidRDefault="001975C3">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w:t>
      </w:r>
      <w:r>
        <w:rPr>
          <w:rFonts w:ascii="Arial" w:eastAsia="Arial" w:hAnsi="Arial" w:cs="Arial"/>
          <w:sz w:val="24"/>
          <w:szCs w:val="24"/>
        </w:rPr>
        <w:t>rsonal Data Breach;</w:t>
      </w:r>
    </w:p>
    <w:p w14:paraId="0000001B" w14:textId="77777777" w:rsidR="00891A2C" w:rsidRDefault="001975C3">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0000001C" w14:textId="77777777" w:rsidR="00891A2C" w:rsidRDefault="001975C3">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0000001D"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0000001E" w14:textId="77777777" w:rsidR="00891A2C" w:rsidRDefault="001975C3">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r>
        <w:rPr>
          <w:rFonts w:ascii="Arial" w:eastAsia="Arial" w:hAnsi="Arial" w:cs="Arial"/>
          <w:sz w:val="24"/>
          <w:szCs w:val="24"/>
        </w:rPr>
        <w:t>;</w:t>
      </w:r>
    </w:p>
    <w:p w14:paraId="0000001F" w14:textId="77777777" w:rsidR="00891A2C" w:rsidRDefault="001975C3">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00000020" w14:textId="77777777" w:rsidR="00891A2C" w:rsidRDefault="001975C3">
      <w:pPr>
        <w:numPr>
          <w:ilvl w:val="4"/>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w:t>
      </w:r>
      <w:r>
        <w:rPr>
          <w:rFonts w:ascii="Arial" w:eastAsia="Arial" w:hAnsi="Arial" w:cs="Arial"/>
          <w:i/>
          <w:sz w:val="24"/>
          <w:szCs w:val="24"/>
        </w:rPr>
        <w:t xml:space="preserve">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00000021" w14:textId="77777777" w:rsidR="00891A2C" w:rsidRDefault="001975C3">
      <w:pPr>
        <w:numPr>
          <w:ilvl w:val="4"/>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00000022" w14:textId="77777777" w:rsidR="00891A2C" w:rsidRDefault="001975C3">
      <w:pPr>
        <w:numPr>
          <w:ilvl w:val="4"/>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00000023" w14:textId="77777777" w:rsidR="00891A2C" w:rsidRDefault="001975C3">
      <w:pPr>
        <w:numPr>
          <w:ilvl w:val="4"/>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have under</w:t>
      </w:r>
      <w:r>
        <w:rPr>
          <w:rFonts w:ascii="Arial" w:eastAsia="Arial" w:hAnsi="Arial" w:cs="Arial"/>
          <w:sz w:val="24"/>
          <w:szCs w:val="24"/>
        </w:rPr>
        <w:t xml:space="preserve">gone adequate training in the use, care, protection and handling of Personal Data; </w:t>
      </w:r>
    </w:p>
    <w:p w14:paraId="00000024"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00000025" w14:textId="77777777" w:rsidR="00891A2C" w:rsidRDefault="001975C3">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w:t>
      </w:r>
      <w:r>
        <w:rPr>
          <w:rFonts w:ascii="Arial" w:eastAsia="Arial" w:hAnsi="Arial" w:cs="Arial"/>
          <w:sz w:val="24"/>
          <w:szCs w:val="24"/>
        </w:rPr>
        <w:t>roller or the Processor has provided appropriate safeguards in relation to the transfer (whether in accordance with UK GDPR Article 46 or LED Article 37) as determined by the Controller;</w:t>
      </w:r>
    </w:p>
    <w:p w14:paraId="00000026" w14:textId="77777777" w:rsidR="00891A2C" w:rsidRDefault="001975C3">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00000027" w14:textId="77777777" w:rsidR="00891A2C" w:rsidRDefault="001975C3">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w:t>
      </w:r>
      <w:r>
        <w:rPr>
          <w:rFonts w:ascii="Arial" w:eastAsia="Arial" w:hAnsi="Arial" w:cs="Arial"/>
          <w:sz w:val="24"/>
          <w:szCs w:val="24"/>
        </w:rPr>
        <w:t xml:space="preserve"> its obligations); and</w:t>
      </w:r>
    </w:p>
    <w:p w14:paraId="00000028" w14:textId="77777777" w:rsidR="00891A2C" w:rsidRDefault="001975C3">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00000029"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w:t>
      </w:r>
      <w:r>
        <w:rPr>
          <w:rFonts w:ascii="Arial" w:eastAsia="Arial" w:hAnsi="Arial" w:cs="Arial"/>
          <w:sz w:val="24"/>
          <w:szCs w:val="24"/>
        </w:rPr>
        <w:t>and any copies of it) to the Controller on termination of the Contract unless the Processor is required by Law to retain the Personal Data.</w:t>
      </w:r>
    </w:p>
    <w:p w14:paraId="0000002A"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0000002B"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w:t>
      </w:r>
      <w:r>
        <w:rPr>
          <w:rFonts w:ascii="Arial" w:eastAsia="Arial" w:hAnsi="Arial" w:cs="Arial"/>
          <w:sz w:val="24"/>
          <w:szCs w:val="24"/>
        </w:rPr>
        <w:t>bject Access Request);</w:t>
      </w:r>
    </w:p>
    <w:p w14:paraId="0000002C"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0000002D"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0000002E"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any communication from t</w:t>
      </w:r>
      <w:r>
        <w:rPr>
          <w:rFonts w:ascii="Arial" w:eastAsia="Arial" w:hAnsi="Arial" w:cs="Arial"/>
          <w:sz w:val="24"/>
          <w:szCs w:val="24"/>
        </w:rPr>
        <w:t xml:space="preserve">he Information Commissioner or any other regulatory authority in connection with Personal Data Processed under the Contract; </w:t>
      </w:r>
    </w:p>
    <w:p w14:paraId="0000002F"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w:t>
      </w:r>
      <w:r>
        <w:rPr>
          <w:rFonts w:ascii="Arial" w:eastAsia="Arial" w:hAnsi="Arial" w:cs="Arial"/>
          <w:sz w:val="24"/>
          <w:szCs w:val="24"/>
        </w:rPr>
        <w:t>d to be required by Law; or</w:t>
      </w:r>
    </w:p>
    <w:p w14:paraId="00000030"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00000031"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00000032"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w:t>
      </w:r>
      <w:r>
        <w:rPr>
          <w:rFonts w:ascii="Arial" w:eastAsia="Arial" w:hAnsi="Arial" w:cs="Arial"/>
          <w:sz w:val="24"/>
          <w:szCs w:val="24"/>
        </w:rPr>
        <w:t xml:space="preserve">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w:t>
      </w:r>
      <w:r>
        <w:rPr>
          <w:rFonts w:ascii="Arial" w:eastAsia="Arial" w:hAnsi="Arial" w:cs="Arial"/>
          <w:sz w:val="24"/>
          <w:szCs w:val="24"/>
        </w:rPr>
        <w:t>int Schedule 11 (and insofar as possible within the timescales reasonably required by the Controller) including by immediately providing:</w:t>
      </w:r>
    </w:p>
    <w:p w14:paraId="00000033"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00000034"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such assistance as is reasonab</w:t>
      </w:r>
      <w:r>
        <w:rPr>
          <w:rFonts w:ascii="Arial" w:eastAsia="Arial" w:hAnsi="Arial" w:cs="Arial"/>
          <w:sz w:val="24"/>
          <w:szCs w:val="24"/>
        </w:rPr>
        <w:t xml:space="preserve">ly requested by the Controller to enable it to comply with a Data Subject Access Request within the relevant timescales set out in the Data Protection Legislation; </w:t>
      </w:r>
    </w:p>
    <w:p w14:paraId="00000035"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at its request, with any Personal Data it holds in relation to a Data Subje</w:t>
      </w:r>
      <w:r>
        <w:rPr>
          <w:rFonts w:ascii="Arial" w:eastAsia="Arial" w:hAnsi="Arial" w:cs="Arial"/>
          <w:sz w:val="24"/>
          <w:szCs w:val="24"/>
        </w:rPr>
        <w:t xml:space="preserve">ct; </w:t>
      </w:r>
    </w:p>
    <w:p w14:paraId="00000036"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00000037"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w:t>
      </w:r>
      <w:r>
        <w:rPr>
          <w:rFonts w:ascii="Arial" w:eastAsia="Arial" w:hAnsi="Arial" w:cs="Arial"/>
          <w:sz w:val="24"/>
          <w:szCs w:val="24"/>
        </w:rPr>
        <w:t>rmation Commissioner's Office.</w:t>
      </w:r>
    </w:p>
    <w:p w14:paraId="00000038"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00000039"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w:t>
      </w:r>
      <w:r>
        <w:rPr>
          <w:rFonts w:ascii="Arial" w:eastAsia="Arial" w:hAnsi="Arial" w:cs="Arial"/>
          <w:sz w:val="24"/>
          <w:szCs w:val="24"/>
        </w:rPr>
        <w:t>he Controller determines that the Processing is not occasional;</w:t>
      </w:r>
    </w:p>
    <w:p w14:paraId="0000003A"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000003B"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w:t>
      </w:r>
      <w:r>
        <w:rPr>
          <w:rFonts w:ascii="Arial" w:eastAsia="Arial" w:hAnsi="Arial" w:cs="Arial"/>
          <w:sz w:val="24"/>
          <w:szCs w:val="24"/>
        </w:rPr>
        <w:t xml:space="preserve"> that the Processing is likely to result in a risk to the rights and freedoms of Data Subjects.</w:t>
      </w:r>
    </w:p>
    <w:p w14:paraId="0000003C"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0000003D"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designate a Dat</w:t>
      </w:r>
      <w:r>
        <w:rPr>
          <w:rFonts w:ascii="Arial" w:eastAsia="Arial" w:hAnsi="Arial" w:cs="Arial"/>
          <w:sz w:val="24"/>
          <w:szCs w:val="24"/>
        </w:rPr>
        <w:t xml:space="preserve">a Protection Officer if required by the Data Protection Legislation. </w:t>
      </w:r>
    </w:p>
    <w:p w14:paraId="0000003E"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0000003F"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00000040"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o</w:t>
      </w:r>
      <w:r>
        <w:rPr>
          <w:rFonts w:ascii="Arial" w:eastAsia="Arial" w:hAnsi="Arial" w:cs="Arial"/>
          <w:sz w:val="24"/>
          <w:szCs w:val="24"/>
        </w:rPr>
        <w:t xml:space="preserve">btain the written consent of the Controller; </w:t>
      </w:r>
    </w:p>
    <w:p w14:paraId="00000041"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00000042" w14:textId="77777777" w:rsidR="00891A2C" w:rsidRDefault="001975C3">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w:t>
      </w:r>
      <w:r>
        <w:rPr>
          <w:rFonts w:ascii="Arial" w:eastAsia="Arial" w:hAnsi="Arial" w:cs="Arial"/>
          <w:sz w:val="24"/>
          <w:szCs w:val="24"/>
        </w:rPr>
        <w:t>egarding the Subprocessor as the Controller may reasonably require.</w:t>
      </w:r>
    </w:p>
    <w:p w14:paraId="00000043"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00000044"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w:t>
      </w:r>
      <w:r>
        <w:rPr>
          <w:rFonts w:ascii="Arial" w:eastAsia="Arial" w:hAnsi="Arial" w:cs="Arial"/>
          <w:sz w:val="24"/>
          <w:szCs w:val="24"/>
        </w:rPr>
        <w:t xml:space="preserv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00000045"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ag</w:t>
      </w:r>
      <w:r>
        <w:rPr>
          <w:rFonts w:ascii="Arial" w:eastAsia="Arial" w:hAnsi="Arial" w:cs="Arial"/>
          <w:sz w:val="24"/>
          <w:szCs w:val="24"/>
        </w:rPr>
        <w:t xml:space="preserve">ree to take account of any guidance issued by the Information Commissioner’s Office. The Relevant Authority may on not less than thirty (30) Working Days’ notice to the Supplier amend the Contract to ensure that it complies with any guidance issued by the </w:t>
      </w:r>
      <w:r>
        <w:rPr>
          <w:rFonts w:ascii="Arial" w:eastAsia="Arial" w:hAnsi="Arial" w:cs="Arial"/>
          <w:sz w:val="24"/>
          <w:szCs w:val="24"/>
        </w:rPr>
        <w:t xml:space="preserve">Information Commissioner’s Office. </w:t>
      </w:r>
    </w:p>
    <w:p w14:paraId="00000046" w14:textId="77777777" w:rsidR="00891A2C" w:rsidRDefault="001975C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00000047"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r>
        <w:rPr>
          <w:rFonts w:ascii="Arial" w:eastAsia="Arial" w:hAnsi="Arial" w:cs="Arial"/>
          <w:sz w:val="24"/>
          <w:szCs w:val="24"/>
        </w:rPr>
        <w:t xml:space="preserve"> </w:t>
      </w:r>
    </w:p>
    <w:p w14:paraId="00000048" w14:textId="77777777" w:rsidR="00891A2C" w:rsidRDefault="001975C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0000049"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w:t>
      </w:r>
      <w:r>
        <w:rPr>
          <w:rFonts w:ascii="Arial" w:eastAsia="Arial" w:hAnsi="Arial" w:cs="Arial"/>
          <w:sz w:val="24"/>
          <w:szCs w:val="24"/>
        </w:rPr>
        <w:t>cable Data Protection Legislation in respect of their Processing of such Personal Data as Controller.</w:t>
      </w:r>
    </w:p>
    <w:p w14:paraId="0000004A"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Process the Personal Data in compliance with its obligations under the Data Protection Legislation and not do anything to cause the other</w:t>
      </w:r>
      <w:r>
        <w:rPr>
          <w:rFonts w:ascii="Arial" w:eastAsia="Arial" w:hAnsi="Arial" w:cs="Arial"/>
          <w:sz w:val="24"/>
          <w:szCs w:val="24"/>
        </w:rPr>
        <w:t xml:space="preserve"> Party to be in breach of it. </w:t>
      </w:r>
    </w:p>
    <w:p w14:paraId="0000004B"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w:t>
      </w:r>
      <w:r>
        <w:rPr>
          <w:rFonts w:ascii="Arial" w:eastAsia="Arial" w:hAnsi="Arial" w:cs="Arial"/>
          <w:sz w:val="24"/>
          <w:szCs w:val="24"/>
        </w:rPr>
        <w:t xml:space="preserve"> and procedures as the other Party may reasonably require.</w:t>
      </w:r>
    </w:p>
    <w:p w14:paraId="0000004C"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0000004D"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w:t>
      </w:r>
      <w:r>
        <w:rPr>
          <w:rFonts w:ascii="Arial" w:eastAsia="Arial" w:hAnsi="Arial" w:cs="Arial"/>
          <w:sz w:val="24"/>
          <w:szCs w:val="24"/>
        </w:rPr>
        <w:t>vide Personal Data to each other:</w:t>
      </w:r>
    </w:p>
    <w:p w14:paraId="0000004E" w14:textId="77777777" w:rsidR="00891A2C" w:rsidRDefault="001975C3">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000004F" w14:textId="77777777" w:rsidR="00891A2C" w:rsidRDefault="001975C3">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00000050" w14:textId="77777777" w:rsidR="00891A2C" w:rsidRDefault="001975C3">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it has recorded it in Annex 1</w:t>
      </w:r>
      <w:r>
        <w:rPr>
          <w:rFonts w:ascii="Arial" w:eastAsia="Arial" w:hAnsi="Arial" w:cs="Arial"/>
          <w:sz w:val="24"/>
          <w:szCs w:val="24"/>
        </w:rPr>
        <w:t xml:space="preserve"> </w:t>
      </w:r>
      <w:r>
        <w:rPr>
          <w:rFonts w:ascii="Arial" w:eastAsia="Arial" w:hAnsi="Arial" w:cs="Arial"/>
          <w:i/>
          <w:sz w:val="24"/>
          <w:szCs w:val="24"/>
        </w:rPr>
        <w:t>(Processing Personal Data).</w:t>
      </w:r>
    </w:p>
    <w:p w14:paraId="00000051"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w:t>
      </w:r>
      <w:r>
        <w:rPr>
          <w:rFonts w:ascii="Arial" w:eastAsia="Arial" w:hAnsi="Arial" w:cs="Arial"/>
          <w:sz w:val="24"/>
          <w:szCs w:val="24"/>
        </w:rPr>
        <w:t xml:space="preserve">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w:t>
      </w:r>
      <w:r>
        <w:rPr>
          <w:rFonts w:ascii="Arial" w:eastAsia="Arial" w:hAnsi="Arial" w:cs="Arial"/>
          <w:sz w:val="24"/>
          <w:szCs w:val="24"/>
        </w:rPr>
        <w:t>e measures referred to in Article 32(1)(a), (b), (c) and (d) of the UK GDPR, and the measures shall, at a minimum, comply with the requirements of the Data Protection Legislation, including Article 32 of the UK GDPR.</w:t>
      </w:r>
    </w:p>
    <w:p w14:paraId="00000052"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w:t>
      </w:r>
      <w:r>
        <w:rPr>
          <w:rFonts w:ascii="Arial" w:eastAsia="Arial" w:hAnsi="Arial" w:cs="Arial"/>
          <w:sz w:val="24"/>
          <w:szCs w:val="24"/>
        </w:rPr>
        <w:t>e purposes of the Contract shall maintain a record of its Processing activities in accordance with Article 30 UK GDPR and shall make the record available to the other Party upon reasonable request.</w:t>
      </w:r>
    </w:p>
    <w:p w14:paraId="00000053"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receives a request by any Data Subject to ex</w:t>
      </w:r>
      <w:r>
        <w:rPr>
          <w:rFonts w:ascii="Arial" w:eastAsia="Arial" w:hAnsi="Arial" w:cs="Arial"/>
          <w:sz w:val="24"/>
          <w:szCs w:val="24"/>
        </w:rPr>
        <w:t xml:space="preserve">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00000054" w14:textId="77777777" w:rsidR="00891A2C" w:rsidRDefault="001975C3">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w:t>
      </w:r>
      <w:r>
        <w:rPr>
          <w:rFonts w:ascii="Arial" w:eastAsia="Arial" w:hAnsi="Arial" w:cs="Arial"/>
          <w:sz w:val="24"/>
          <w:szCs w:val="24"/>
        </w:rPr>
        <w:t>y requested by the Request Recipient to help it respond to the request or correspondence, at the cost of the Request Recipient; or</w:t>
      </w:r>
    </w:p>
    <w:p w14:paraId="00000055" w14:textId="77777777" w:rsidR="00891A2C" w:rsidRDefault="001975C3">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w:t>
      </w:r>
      <w:r>
        <w:rPr>
          <w:rFonts w:ascii="Arial" w:eastAsia="Arial" w:hAnsi="Arial" w:cs="Arial"/>
          <w:sz w:val="24"/>
          <w:szCs w:val="24"/>
        </w:rPr>
        <w:t>sonal Data, the Request Recipient will:</w:t>
      </w:r>
    </w:p>
    <w:p w14:paraId="00000056" w14:textId="77777777" w:rsidR="00891A2C" w:rsidRDefault="001975C3">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promptly, and in any event within five (5) Working Days of receipt of the request or correspondence, inform the other Party that it has received the same and shall forward such request or correspondence to the other </w:t>
      </w:r>
      <w:r>
        <w:rPr>
          <w:rFonts w:ascii="Arial" w:eastAsia="Arial" w:hAnsi="Arial" w:cs="Arial"/>
          <w:sz w:val="24"/>
          <w:szCs w:val="24"/>
        </w:rPr>
        <w:t>Party; and</w:t>
      </w:r>
    </w:p>
    <w:p w14:paraId="00000057" w14:textId="77777777" w:rsidR="00891A2C" w:rsidRDefault="001975C3">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00000058"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promptly notify the other Party upon it becoming aware of any Personal Data Breach relating to Personal Data provided by the other Party pursuant to the Contract and shall:</w:t>
      </w:r>
    </w:p>
    <w:p w14:paraId="00000059" w14:textId="77777777" w:rsidR="00891A2C" w:rsidRDefault="001975C3">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do all such things as reasonably necessary to assist the other Par</w:t>
      </w:r>
      <w:r>
        <w:rPr>
          <w:rFonts w:ascii="Arial" w:eastAsia="Arial" w:hAnsi="Arial" w:cs="Arial"/>
          <w:sz w:val="24"/>
          <w:szCs w:val="24"/>
        </w:rPr>
        <w:t>ty in mitigating the effects of the Personal Data Breach;</w:t>
      </w:r>
    </w:p>
    <w:p w14:paraId="0000005A" w14:textId="77777777" w:rsidR="00891A2C" w:rsidRDefault="001975C3">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implement any measures necessary to restore the security of any compromised Personal Data;</w:t>
      </w:r>
    </w:p>
    <w:p w14:paraId="0000005B" w14:textId="77777777" w:rsidR="00891A2C" w:rsidRDefault="001975C3">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w:t>
      </w:r>
      <w:r>
        <w:rPr>
          <w:rFonts w:ascii="Arial" w:eastAsia="Arial" w:hAnsi="Arial" w:cs="Arial"/>
          <w:sz w:val="24"/>
          <w:szCs w:val="24"/>
        </w:rPr>
        <w:t>ffected Data Subjects in accordance with the Data Protection Legislation (including the timeframes set out therein); and</w:t>
      </w:r>
    </w:p>
    <w:p w14:paraId="0000005C" w14:textId="77777777" w:rsidR="00891A2C" w:rsidRDefault="001975C3">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do anything which may damage the reputation of the other Party or that Party's relationship with the relevant Data Subjects, save a</w:t>
      </w:r>
      <w:r>
        <w:rPr>
          <w:rFonts w:ascii="Arial" w:eastAsia="Arial" w:hAnsi="Arial" w:cs="Arial"/>
          <w:sz w:val="24"/>
          <w:szCs w:val="24"/>
        </w:rPr>
        <w:t>s required by Law.</w:t>
      </w:r>
    </w:p>
    <w:p w14:paraId="0000005D"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p>
    <w:p w14:paraId="0000005E"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Personal Data shall not be retained or processed fo</w:t>
      </w:r>
      <w:r>
        <w:rPr>
          <w:rFonts w:ascii="Arial" w:eastAsia="Arial" w:hAnsi="Arial" w:cs="Arial"/>
          <w:sz w:val="24"/>
          <w:szCs w:val="24"/>
        </w:rPr>
        <w:t xml:space="preserve">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w:t>
      </w:r>
    </w:p>
    <w:p w14:paraId="0000005F" w14:textId="77777777" w:rsidR="00891A2C" w:rsidRDefault="001975C3">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w:t>
      </w:r>
      <w:r>
        <w:rPr>
          <w:rFonts w:ascii="Arial" w:eastAsia="Arial" w:hAnsi="Arial" w:cs="Arial"/>
          <w:sz w:val="24"/>
          <w:szCs w:val="24"/>
        </w:rPr>
        <w:t>ler of Personal Data in accordance with paragraphs 18 to 27 of this Joint Schedule 11.</w:t>
      </w:r>
    </w:p>
    <w:p w14:paraId="00000060" w14:textId="77777777" w:rsidR="00891A2C" w:rsidRDefault="00891A2C">
      <w:pPr>
        <w:pBdr>
          <w:top w:val="nil"/>
          <w:left w:val="nil"/>
          <w:bottom w:val="nil"/>
          <w:right w:val="nil"/>
          <w:between w:val="nil"/>
        </w:pBdr>
        <w:spacing w:before="280" w:after="120"/>
        <w:ind w:left="709"/>
        <w:rPr>
          <w:rFonts w:ascii="Arial" w:eastAsia="Arial" w:hAnsi="Arial" w:cs="Arial"/>
          <w:sz w:val="24"/>
          <w:szCs w:val="24"/>
        </w:rPr>
      </w:pPr>
    </w:p>
    <w:p w14:paraId="00000061" w14:textId="77777777" w:rsidR="00891A2C" w:rsidRDefault="001975C3">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00000062" w14:textId="77777777" w:rsidR="00891A2C" w:rsidRDefault="001975C3">
      <w:pPr>
        <w:rPr>
          <w:rFonts w:ascii="Arial" w:eastAsia="Arial" w:hAnsi="Arial" w:cs="Arial"/>
          <w:sz w:val="24"/>
          <w:szCs w:val="24"/>
        </w:rPr>
      </w:pPr>
      <w:r>
        <w:rPr>
          <w:rFonts w:ascii="Arial" w:eastAsia="Arial" w:hAnsi="Arial" w:cs="Arial"/>
          <w:sz w:val="24"/>
          <w:szCs w:val="24"/>
        </w:rPr>
        <w:t>This Annex shall be completed by the Controller, who may take account of the view of the Processors, however the final decision as t</w:t>
      </w:r>
      <w:r>
        <w:rPr>
          <w:rFonts w:ascii="Arial" w:eastAsia="Arial" w:hAnsi="Arial" w:cs="Arial"/>
          <w:sz w:val="24"/>
          <w:szCs w:val="24"/>
        </w:rPr>
        <w:t xml:space="preserve">o the content of this Annex shall be with the Relevant Authority at its absolute discretion.  </w:t>
      </w:r>
    </w:p>
    <w:p w14:paraId="00000063" w14:textId="03709EFF" w:rsidR="00891A2C" w:rsidRDefault="001975C3">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454884" w:rsidRPr="00852325">
        <w:rPr>
          <w:rFonts w:ascii="Arial" w:eastAsia="Arial" w:hAnsi="Arial" w:cs="Arial"/>
          <w:b/>
          <w:color w:val="FF0000"/>
          <w:sz w:val="24"/>
          <w:szCs w:val="24"/>
        </w:rPr>
        <w:t>REDACTED TEXT under FOIA Section 40, Personal Information</w:t>
      </w:r>
    </w:p>
    <w:p w14:paraId="00000064" w14:textId="135BC1D4" w:rsidR="00891A2C" w:rsidRDefault="001975C3">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w:t>
      </w:r>
      <w:r>
        <w:rPr>
          <w:rFonts w:ascii="Arial" w:eastAsia="Arial" w:hAnsi="Arial" w:cs="Arial"/>
          <w:sz w:val="24"/>
          <w:szCs w:val="24"/>
        </w:rPr>
        <w:t>er are</w:t>
      </w:r>
      <w:r w:rsidR="00454884" w:rsidRPr="00454884">
        <w:rPr>
          <w:rFonts w:ascii="Arial" w:eastAsia="Arial" w:hAnsi="Arial" w:cs="Arial"/>
          <w:b/>
          <w:color w:val="FF0000"/>
          <w:sz w:val="24"/>
          <w:szCs w:val="24"/>
        </w:rPr>
        <w:t xml:space="preserve"> </w:t>
      </w:r>
      <w:r w:rsidR="00454884" w:rsidRPr="00852325">
        <w:rPr>
          <w:rFonts w:ascii="Arial" w:eastAsia="Arial" w:hAnsi="Arial" w:cs="Arial"/>
          <w:b/>
          <w:color w:val="FF0000"/>
          <w:sz w:val="24"/>
          <w:szCs w:val="24"/>
        </w:rPr>
        <w:t>REDACTED TEXT under FOIA Section 40, Personal Information</w:t>
      </w:r>
      <w:bookmarkStart w:id="15" w:name="_GoBack"/>
      <w:bookmarkEnd w:id="15"/>
    </w:p>
    <w:p w14:paraId="00000065" w14:textId="77777777" w:rsidR="00891A2C" w:rsidRDefault="001975C3">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0000066" w14:textId="77777777" w:rsidR="00891A2C" w:rsidRDefault="001975C3">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00000067" w14:textId="77777777" w:rsidR="00891A2C" w:rsidRDefault="00891A2C">
      <w:pPr>
        <w:keepNext/>
        <w:ind w:left="720"/>
        <w:rPr>
          <w:rFonts w:ascii="Arial" w:eastAsia="Arial" w:hAnsi="Arial" w:cs="Arial"/>
          <w:sz w:val="24"/>
          <w:szCs w:val="24"/>
        </w:rPr>
      </w:pPr>
    </w:p>
    <w:tbl>
      <w:tblPr>
        <w:tblStyle w:val="a6"/>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891A2C" w14:paraId="47CB5DF5" w14:textId="77777777">
        <w:trPr>
          <w:trHeight w:val="700"/>
        </w:trPr>
        <w:tc>
          <w:tcPr>
            <w:tcW w:w="2263" w:type="dxa"/>
            <w:shd w:val="clear" w:color="auto" w:fill="BFBFBF"/>
            <w:vAlign w:val="center"/>
          </w:tcPr>
          <w:p w14:paraId="00000068" w14:textId="77777777" w:rsidR="00891A2C" w:rsidRDefault="001975C3">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00000069" w14:textId="77777777" w:rsidR="00891A2C" w:rsidRDefault="001975C3">
            <w:pPr>
              <w:jc w:val="center"/>
              <w:rPr>
                <w:rFonts w:ascii="Arial" w:eastAsia="Arial" w:hAnsi="Arial" w:cs="Arial"/>
                <w:b/>
                <w:sz w:val="24"/>
                <w:szCs w:val="24"/>
              </w:rPr>
            </w:pPr>
            <w:r>
              <w:rPr>
                <w:rFonts w:ascii="Arial" w:eastAsia="Arial" w:hAnsi="Arial" w:cs="Arial"/>
                <w:b/>
                <w:sz w:val="24"/>
                <w:szCs w:val="24"/>
              </w:rPr>
              <w:t>Details</w:t>
            </w:r>
          </w:p>
        </w:tc>
      </w:tr>
      <w:tr w:rsidR="00891A2C" w14:paraId="5FE054BF" w14:textId="77777777">
        <w:trPr>
          <w:trHeight w:val="1620"/>
        </w:trPr>
        <w:tc>
          <w:tcPr>
            <w:tcW w:w="2263" w:type="dxa"/>
            <w:shd w:val="clear" w:color="auto" w:fill="auto"/>
          </w:tcPr>
          <w:p w14:paraId="0000006A" w14:textId="77777777" w:rsidR="00891A2C" w:rsidRDefault="001975C3">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0000006B" w14:textId="77777777" w:rsidR="00891A2C" w:rsidRDefault="001975C3">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0000006C" w14:textId="77777777" w:rsidR="00891A2C" w:rsidRDefault="001975C3">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w:t>
            </w:r>
            <w:r>
              <w:rPr>
                <w:rFonts w:ascii="Arial" w:eastAsia="Arial" w:hAnsi="Arial" w:cs="Arial"/>
                <w:sz w:val="24"/>
                <w:szCs w:val="24"/>
              </w:rPr>
              <w:t>, the Relevant Authority is the Controller and the Supplier is the Processor of the following Personal Data:</w:t>
            </w:r>
          </w:p>
          <w:p w14:paraId="0000006D" w14:textId="77777777" w:rsidR="00891A2C" w:rsidRDefault="00891A2C">
            <w:pPr>
              <w:pBdr>
                <w:top w:val="nil"/>
                <w:left w:val="nil"/>
                <w:bottom w:val="nil"/>
                <w:right w:val="nil"/>
                <w:between w:val="nil"/>
              </w:pBdr>
              <w:jc w:val="both"/>
              <w:rPr>
                <w:rFonts w:ascii="Arial" w:eastAsia="Arial" w:hAnsi="Arial" w:cs="Arial"/>
                <w:i/>
                <w:sz w:val="24"/>
                <w:szCs w:val="24"/>
              </w:rPr>
            </w:pPr>
          </w:p>
          <w:p w14:paraId="0000006E" w14:textId="77777777" w:rsidR="00891A2C" w:rsidRDefault="001975C3">
            <w:pPr>
              <w:numPr>
                <w:ilvl w:val="0"/>
                <w:numId w:val="5"/>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Disability status (including disabled, neurodivergent, d/Deaf)</w:t>
            </w:r>
          </w:p>
          <w:p w14:paraId="0000006F" w14:textId="77777777" w:rsidR="00891A2C" w:rsidRDefault="001975C3">
            <w:pPr>
              <w:numPr>
                <w:ilvl w:val="0"/>
                <w:numId w:val="5"/>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Impairment type(s)</w:t>
            </w:r>
          </w:p>
          <w:p w14:paraId="00000070" w14:textId="77777777" w:rsidR="00891A2C" w:rsidRDefault="001975C3">
            <w:pPr>
              <w:numPr>
                <w:ilvl w:val="0"/>
                <w:numId w:val="5"/>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Country in which they live/work</w:t>
            </w:r>
          </w:p>
          <w:p w14:paraId="00000071" w14:textId="77777777" w:rsidR="00891A2C" w:rsidRDefault="001975C3">
            <w:pPr>
              <w:numPr>
                <w:ilvl w:val="0"/>
                <w:numId w:val="5"/>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Ethnicity</w:t>
            </w:r>
          </w:p>
          <w:p w14:paraId="00000072" w14:textId="77777777" w:rsidR="00891A2C" w:rsidRDefault="001975C3">
            <w:pPr>
              <w:numPr>
                <w:ilvl w:val="0"/>
                <w:numId w:val="5"/>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Age</w:t>
            </w:r>
          </w:p>
          <w:p w14:paraId="00000073" w14:textId="77777777" w:rsidR="00891A2C" w:rsidRDefault="001975C3">
            <w:pPr>
              <w:numPr>
                <w:ilvl w:val="0"/>
                <w:numId w:val="5"/>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Sex</w:t>
            </w:r>
          </w:p>
          <w:p w14:paraId="00000074" w14:textId="77777777" w:rsidR="00891A2C" w:rsidRDefault="001975C3">
            <w:pPr>
              <w:numPr>
                <w:ilvl w:val="0"/>
                <w:numId w:val="5"/>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Name</w:t>
            </w:r>
          </w:p>
          <w:p w14:paraId="00000075" w14:textId="77777777" w:rsidR="00891A2C" w:rsidRDefault="001975C3">
            <w:pPr>
              <w:numPr>
                <w:ilvl w:val="0"/>
                <w:numId w:val="5"/>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Address</w:t>
            </w:r>
          </w:p>
          <w:p w14:paraId="00000076" w14:textId="77777777" w:rsidR="00891A2C" w:rsidRDefault="001975C3">
            <w:pPr>
              <w:numPr>
                <w:ilvl w:val="0"/>
                <w:numId w:val="5"/>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Email address</w:t>
            </w:r>
          </w:p>
          <w:p w14:paraId="00000077" w14:textId="77777777" w:rsidR="00891A2C" w:rsidRDefault="001975C3">
            <w:pPr>
              <w:numPr>
                <w:ilvl w:val="0"/>
                <w:numId w:val="5"/>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Phone number</w:t>
            </w:r>
          </w:p>
          <w:p w14:paraId="00000078" w14:textId="77777777" w:rsidR="00891A2C" w:rsidRDefault="001975C3">
            <w:pPr>
              <w:numPr>
                <w:ilvl w:val="0"/>
                <w:numId w:val="5"/>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Name of individual’s organisation</w:t>
            </w:r>
          </w:p>
          <w:p w14:paraId="00000079" w14:textId="77777777" w:rsidR="00891A2C" w:rsidRDefault="001975C3">
            <w:pPr>
              <w:numPr>
                <w:ilvl w:val="0"/>
                <w:numId w:val="5"/>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Consultation responses</w:t>
            </w:r>
          </w:p>
          <w:p w14:paraId="0000007A" w14:textId="77777777" w:rsidR="00891A2C" w:rsidRDefault="00891A2C">
            <w:pPr>
              <w:rPr>
                <w:rFonts w:ascii="Arial" w:eastAsia="Arial" w:hAnsi="Arial" w:cs="Arial"/>
                <w:sz w:val="24"/>
                <w:szCs w:val="24"/>
              </w:rPr>
            </w:pPr>
          </w:p>
          <w:p w14:paraId="0000007B" w14:textId="77777777" w:rsidR="00891A2C" w:rsidRDefault="00891A2C">
            <w:pPr>
              <w:rPr>
                <w:rFonts w:ascii="Arial" w:eastAsia="Arial" w:hAnsi="Arial" w:cs="Arial"/>
                <w:i/>
                <w:sz w:val="24"/>
                <w:szCs w:val="24"/>
              </w:rPr>
            </w:pPr>
          </w:p>
          <w:p w14:paraId="0000007C" w14:textId="77777777" w:rsidR="00891A2C" w:rsidRDefault="001975C3">
            <w:pPr>
              <w:rPr>
                <w:rFonts w:ascii="Arial" w:eastAsia="Arial" w:hAnsi="Arial" w:cs="Arial"/>
                <w:b/>
                <w:sz w:val="24"/>
                <w:szCs w:val="24"/>
              </w:rPr>
            </w:pPr>
            <w:r>
              <w:rPr>
                <w:rFonts w:ascii="Arial" w:eastAsia="Arial" w:hAnsi="Arial" w:cs="Arial"/>
                <w:b/>
                <w:sz w:val="24"/>
                <w:szCs w:val="24"/>
              </w:rPr>
              <w:t>The Parties are Independent Controllers of Personal Data</w:t>
            </w:r>
          </w:p>
          <w:p w14:paraId="0000007D" w14:textId="77777777" w:rsidR="00891A2C" w:rsidRDefault="00891A2C">
            <w:pPr>
              <w:rPr>
                <w:rFonts w:ascii="Arial" w:eastAsia="Arial" w:hAnsi="Arial" w:cs="Arial"/>
                <w:b/>
                <w:i/>
                <w:sz w:val="24"/>
                <w:szCs w:val="24"/>
                <w:highlight w:val="yellow"/>
              </w:rPr>
            </w:pPr>
          </w:p>
          <w:p w14:paraId="0000007E" w14:textId="77777777" w:rsidR="00891A2C" w:rsidRDefault="001975C3">
            <w:pPr>
              <w:rPr>
                <w:rFonts w:ascii="Arial" w:eastAsia="Arial" w:hAnsi="Arial" w:cs="Arial"/>
                <w:sz w:val="24"/>
                <w:szCs w:val="24"/>
              </w:rPr>
            </w:pPr>
            <w:r>
              <w:rPr>
                <w:rFonts w:ascii="Arial" w:eastAsia="Arial" w:hAnsi="Arial" w:cs="Arial"/>
                <w:sz w:val="24"/>
                <w:szCs w:val="24"/>
              </w:rPr>
              <w:t>The Parties acknowledge that they are Independent Controllers for the purposes of the Data Protection Legislatio</w:t>
            </w:r>
            <w:r>
              <w:rPr>
                <w:rFonts w:ascii="Arial" w:eastAsia="Arial" w:hAnsi="Arial" w:cs="Arial"/>
                <w:sz w:val="24"/>
                <w:szCs w:val="24"/>
              </w:rPr>
              <w:t>n in respect of:</w:t>
            </w:r>
          </w:p>
          <w:p w14:paraId="0000007F" w14:textId="77777777" w:rsidR="00891A2C" w:rsidRDefault="001975C3">
            <w:pPr>
              <w:numPr>
                <w:ilvl w:val="0"/>
                <w:numId w:val="4"/>
              </w:numPr>
              <w:pBdr>
                <w:top w:val="nil"/>
                <w:left w:val="nil"/>
                <w:bottom w:val="nil"/>
                <w:right w:val="nil"/>
                <w:between w:val="nil"/>
              </w:pBdr>
              <w:jc w:val="both"/>
              <w:rPr>
                <w:rFonts w:ascii="Arial" w:eastAsia="Arial" w:hAnsi="Arial" w:cs="Arial"/>
                <w:i/>
                <w:sz w:val="24"/>
                <w:szCs w:val="24"/>
              </w:rPr>
            </w:pPr>
            <w:r>
              <w:rPr>
                <w:rFonts w:ascii="Arial" w:eastAsia="Arial" w:hAnsi="Arial" w:cs="Arial"/>
                <w:sz w:val="24"/>
                <w:szCs w:val="24"/>
              </w:rPr>
              <w:t>Business contact details of Supplier Personnel for which the Supplier is the Controller,</w:t>
            </w:r>
          </w:p>
          <w:p w14:paraId="00000080" w14:textId="77777777" w:rsidR="00891A2C" w:rsidRDefault="001975C3">
            <w:pPr>
              <w:numPr>
                <w:ilvl w:val="0"/>
                <w:numId w:val="4"/>
              </w:numPr>
              <w:pBdr>
                <w:top w:val="nil"/>
                <w:left w:val="nil"/>
                <w:bottom w:val="nil"/>
                <w:right w:val="nil"/>
                <w:between w:val="nil"/>
              </w:pBdr>
              <w:jc w:val="both"/>
              <w:rPr>
                <w:rFonts w:ascii="Arial" w:eastAsia="Arial" w:hAnsi="Arial" w:cs="Arial"/>
                <w:i/>
                <w:sz w:val="24"/>
                <w:szCs w:val="24"/>
              </w:rPr>
            </w:pPr>
            <w:r>
              <w:rPr>
                <w:rFonts w:ascii="Arial" w:eastAsia="Arial" w:hAnsi="Arial" w:cs="Arial"/>
                <w:sz w:val="24"/>
                <w:szCs w:val="24"/>
              </w:rPr>
              <w:t xml:space="preserve">Business contact details of any </w:t>
            </w:r>
            <w:r>
              <w:rPr>
                <w:rFonts w:ascii="Arial" w:eastAsia="Arial" w:hAnsi="Arial" w:cs="Arial"/>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w:t>
            </w:r>
            <w:r>
              <w:rPr>
                <w:rFonts w:ascii="Arial" w:eastAsia="Arial" w:hAnsi="Arial" w:cs="Arial"/>
                <w:sz w:val="24"/>
                <w:szCs w:val="24"/>
              </w:rPr>
              <w:t>r</w:t>
            </w:r>
            <w:r>
              <w:rPr>
                <w:rFonts w:ascii="Arial" w:eastAsia="Arial" w:hAnsi="Arial" w:cs="Arial"/>
                <w:i/>
                <w:sz w:val="24"/>
                <w:szCs w:val="24"/>
              </w:rPr>
              <w:t>,</w:t>
            </w:r>
          </w:p>
          <w:p w14:paraId="00000081" w14:textId="77777777" w:rsidR="00891A2C" w:rsidRDefault="00891A2C">
            <w:pPr>
              <w:rPr>
                <w:rFonts w:ascii="Arial" w:eastAsia="Arial" w:hAnsi="Arial" w:cs="Arial"/>
                <w:sz w:val="24"/>
                <w:szCs w:val="24"/>
              </w:rPr>
            </w:pPr>
          </w:p>
        </w:tc>
      </w:tr>
      <w:tr w:rsidR="00891A2C" w14:paraId="3C200DEF" w14:textId="77777777">
        <w:trPr>
          <w:trHeight w:val="1460"/>
        </w:trPr>
        <w:tc>
          <w:tcPr>
            <w:tcW w:w="2263" w:type="dxa"/>
            <w:shd w:val="clear" w:color="auto" w:fill="auto"/>
          </w:tcPr>
          <w:p w14:paraId="00000082" w14:textId="77777777" w:rsidR="00891A2C" w:rsidRDefault="001975C3">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00000083" w14:textId="77777777" w:rsidR="00891A2C" w:rsidRDefault="001975C3">
            <w:pPr>
              <w:rPr>
                <w:rFonts w:ascii="Arial" w:eastAsia="Arial" w:hAnsi="Arial" w:cs="Arial"/>
                <w:sz w:val="24"/>
                <w:szCs w:val="24"/>
              </w:rPr>
            </w:pPr>
            <w:r>
              <w:rPr>
                <w:rFonts w:ascii="Arial" w:eastAsia="Arial" w:hAnsi="Arial" w:cs="Arial"/>
                <w:sz w:val="24"/>
                <w:szCs w:val="24"/>
              </w:rPr>
              <w:t>Processing will start when the consultation commences (late Nov - early Dec 2024). The supplier must delete the data from their systems at the end of the contract.</w:t>
            </w:r>
          </w:p>
        </w:tc>
      </w:tr>
      <w:tr w:rsidR="00891A2C" w14:paraId="34C36EE7" w14:textId="77777777">
        <w:trPr>
          <w:trHeight w:val="1520"/>
        </w:trPr>
        <w:tc>
          <w:tcPr>
            <w:tcW w:w="2263" w:type="dxa"/>
            <w:shd w:val="clear" w:color="auto" w:fill="auto"/>
          </w:tcPr>
          <w:p w14:paraId="00000084" w14:textId="77777777" w:rsidR="00891A2C" w:rsidRDefault="001975C3">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00000085" w14:textId="77777777" w:rsidR="00891A2C" w:rsidRDefault="001975C3">
            <w:pPr>
              <w:rPr>
                <w:rFonts w:ascii="Arial" w:eastAsia="Arial" w:hAnsi="Arial" w:cs="Arial"/>
                <w:sz w:val="24"/>
                <w:szCs w:val="24"/>
              </w:rPr>
            </w:pPr>
            <w:r>
              <w:rPr>
                <w:rFonts w:ascii="Arial" w:eastAsia="Arial" w:hAnsi="Arial" w:cs="Arial"/>
                <w:sz w:val="24"/>
                <w:szCs w:val="24"/>
              </w:rPr>
              <w:t xml:space="preserve">Data will be processed for the purposes of analysing the consultation to produce key themes and insights to inform policy development. This exact specification of services </w:t>
            </w:r>
            <w:proofErr w:type="gramStart"/>
            <w:r>
              <w:rPr>
                <w:rFonts w:ascii="Arial" w:eastAsia="Arial" w:hAnsi="Arial" w:cs="Arial"/>
                <w:sz w:val="24"/>
                <w:szCs w:val="24"/>
              </w:rPr>
              <w:t>are</w:t>
            </w:r>
            <w:proofErr w:type="gramEnd"/>
            <w:r>
              <w:rPr>
                <w:rFonts w:ascii="Arial" w:eastAsia="Arial" w:hAnsi="Arial" w:cs="Arial"/>
                <w:sz w:val="24"/>
                <w:szCs w:val="24"/>
              </w:rPr>
              <w:t xml:space="preserve"> stated in this Agreement. </w:t>
            </w:r>
          </w:p>
          <w:p w14:paraId="00000086" w14:textId="77777777" w:rsidR="00891A2C" w:rsidRDefault="00891A2C">
            <w:pPr>
              <w:rPr>
                <w:rFonts w:ascii="Arial" w:eastAsia="Arial" w:hAnsi="Arial" w:cs="Arial"/>
                <w:sz w:val="24"/>
                <w:szCs w:val="24"/>
              </w:rPr>
            </w:pPr>
          </w:p>
          <w:p w14:paraId="00000087" w14:textId="77777777" w:rsidR="00891A2C" w:rsidRDefault="001975C3">
            <w:pPr>
              <w:rPr>
                <w:rFonts w:ascii="Arial" w:eastAsia="Arial" w:hAnsi="Arial" w:cs="Arial"/>
                <w:sz w:val="24"/>
                <w:szCs w:val="24"/>
              </w:rPr>
            </w:pPr>
            <w:r>
              <w:rPr>
                <w:rFonts w:ascii="Arial" w:eastAsia="Arial" w:hAnsi="Arial" w:cs="Arial"/>
                <w:sz w:val="24"/>
                <w:szCs w:val="24"/>
              </w:rPr>
              <w:t>The overall nature of the processing will include th</w:t>
            </w:r>
            <w:r>
              <w:rPr>
                <w:rFonts w:ascii="Arial" w:eastAsia="Arial" w:hAnsi="Arial" w:cs="Arial"/>
                <w:sz w:val="24"/>
                <w:szCs w:val="24"/>
              </w:rPr>
              <w:t xml:space="preserve">e, collection, recording, organisation, structuring, storage, adaptation or alteration, retrieval, consultation, use, disclosure by transmission, dissemination or otherwise making available, alignment or combination, restriction, erasure or destruction of </w:t>
            </w:r>
            <w:r>
              <w:rPr>
                <w:rFonts w:ascii="Arial" w:eastAsia="Arial" w:hAnsi="Arial" w:cs="Arial"/>
                <w:sz w:val="24"/>
                <w:szCs w:val="24"/>
              </w:rPr>
              <w:t>data (whether or not by automated means)</w:t>
            </w:r>
          </w:p>
          <w:p w14:paraId="00000088" w14:textId="77777777" w:rsidR="00891A2C" w:rsidRDefault="00891A2C">
            <w:pPr>
              <w:rPr>
                <w:rFonts w:ascii="Arial" w:eastAsia="Arial" w:hAnsi="Arial" w:cs="Arial"/>
                <w:sz w:val="24"/>
                <w:szCs w:val="24"/>
              </w:rPr>
            </w:pPr>
          </w:p>
          <w:p w14:paraId="00000089" w14:textId="77777777" w:rsidR="00891A2C" w:rsidRDefault="00891A2C">
            <w:pPr>
              <w:rPr>
                <w:rFonts w:ascii="Arial" w:eastAsia="Arial" w:hAnsi="Arial" w:cs="Arial"/>
                <w:sz w:val="24"/>
                <w:szCs w:val="24"/>
              </w:rPr>
            </w:pPr>
          </w:p>
        </w:tc>
      </w:tr>
      <w:tr w:rsidR="00891A2C" w14:paraId="48826F08" w14:textId="77777777">
        <w:trPr>
          <w:trHeight w:val="1400"/>
        </w:trPr>
        <w:tc>
          <w:tcPr>
            <w:tcW w:w="2263" w:type="dxa"/>
            <w:shd w:val="clear" w:color="auto" w:fill="auto"/>
          </w:tcPr>
          <w:p w14:paraId="0000008A" w14:textId="77777777" w:rsidR="00891A2C" w:rsidRDefault="001975C3">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0000008B" w14:textId="77777777" w:rsidR="00891A2C" w:rsidRDefault="001975C3">
            <w:pPr>
              <w:numPr>
                <w:ilvl w:val="0"/>
                <w:numId w:val="5"/>
              </w:numPr>
              <w:jc w:val="both"/>
              <w:rPr>
                <w:rFonts w:ascii="Arial" w:eastAsia="Arial" w:hAnsi="Arial" w:cs="Arial"/>
                <w:sz w:val="24"/>
                <w:szCs w:val="24"/>
              </w:rPr>
            </w:pPr>
            <w:r>
              <w:rPr>
                <w:rFonts w:ascii="Arial" w:eastAsia="Arial" w:hAnsi="Arial" w:cs="Arial"/>
                <w:sz w:val="24"/>
                <w:szCs w:val="24"/>
              </w:rPr>
              <w:t>Disability status (including disabled, neurodivergent, d/Deaf)</w:t>
            </w:r>
          </w:p>
          <w:p w14:paraId="0000008C" w14:textId="77777777" w:rsidR="00891A2C" w:rsidRDefault="001975C3">
            <w:pPr>
              <w:numPr>
                <w:ilvl w:val="0"/>
                <w:numId w:val="5"/>
              </w:numPr>
              <w:jc w:val="both"/>
              <w:rPr>
                <w:rFonts w:ascii="Arial" w:eastAsia="Arial" w:hAnsi="Arial" w:cs="Arial"/>
                <w:sz w:val="24"/>
                <w:szCs w:val="24"/>
              </w:rPr>
            </w:pPr>
            <w:r>
              <w:rPr>
                <w:rFonts w:ascii="Arial" w:eastAsia="Arial" w:hAnsi="Arial" w:cs="Arial"/>
                <w:sz w:val="24"/>
                <w:szCs w:val="24"/>
              </w:rPr>
              <w:t>Impairment type(s)</w:t>
            </w:r>
          </w:p>
          <w:p w14:paraId="0000008D" w14:textId="77777777" w:rsidR="00891A2C" w:rsidRDefault="001975C3">
            <w:pPr>
              <w:numPr>
                <w:ilvl w:val="0"/>
                <w:numId w:val="5"/>
              </w:numPr>
              <w:jc w:val="both"/>
              <w:rPr>
                <w:rFonts w:ascii="Arial" w:eastAsia="Arial" w:hAnsi="Arial" w:cs="Arial"/>
                <w:sz w:val="24"/>
                <w:szCs w:val="24"/>
              </w:rPr>
            </w:pPr>
            <w:r>
              <w:rPr>
                <w:rFonts w:ascii="Arial" w:eastAsia="Arial" w:hAnsi="Arial" w:cs="Arial"/>
                <w:sz w:val="24"/>
                <w:szCs w:val="24"/>
              </w:rPr>
              <w:t>Country in which they live/work</w:t>
            </w:r>
          </w:p>
          <w:p w14:paraId="0000008E" w14:textId="77777777" w:rsidR="00891A2C" w:rsidRDefault="001975C3">
            <w:pPr>
              <w:numPr>
                <w:ilvl w:val="0"/>
                <w:numId w:val="5"/>
              </w:numPr>
              <w:jc w:val="both"/>
              <w:rPr>
                <w:rFonts w:ascii="Arial" w:eastAsia="Arial" w:hAnsi="Arial" w:cs="Arial"/>
                <w:sz w:val="24"/>
                <w:szCs w:val="24"/>
              </w:rPr>
            </w:pPr>
            <w:r>
              <w:rPr>
                <w:rFonts w:ascii="Arial" w:eastAsia="Arial" w:hAnsi="Arial" w:cs="Arial"/>
                <w:sz w:val="24"/>
                <w:szCs w:val="24"/>
              </w:rPr>
              <w:t>Ethnicity</w:t>
            </w:r>
          </w:p>
          <w:p w14:paraId="0000008F" w14:textId="77777777" w:rsidR="00891A2C" w:rsidRDefault="001975C3">
            <w:pPr>
              <w:numPr>
                <w:ilvl w:val="0"/>
                <w:numId w:val="5"/>
              </w:numPr>
              <w:jc w:val="both"/>
              <w:rPr>
                <w:rFonts w:ascii="Arial" w:eastAsia="Arial" w:hAnsi="Arial" w:cs="Arial"/>
                <w:sz w:val="24"/>
                <w:szCs w:val="24"/>
              </w:rPr>
            </w:pPr>
            <w:r>
              <w:rPr>
                <w:rFonts w:ascii="Arial" w:eastAsia="Arial" w:hAnsi="Arial" w:cs="Arial"/>
                <w:sz w:val="24"/>
                <w:szCs w:val="24"/>
              </w:rPr>
              <w:t>Age</w:t>
            </w:r>
          </w:p>
          <w:p w14:paraId="00000090" w14:textId="77777777" w:rsidR="00891A2C" w:rsidRDefault="001975C3">
            <w:pPr>
              <w:numPr>
                <w:ilvl w:val="0"/>
                <w:numId w:val="5"/>
              </w:numPr>
              <w:jc w:val="both"/>
              <w:rPr>
                <w:rFonts w:ascii="Arial" w:eastAsia="Arial" w:hAnsi="Arial" w:cs="Arial"/>
                <w:sz w:val="24"/>
                <w:szCs w:val="24"/>
              </w:rPr>
            </w:pPr>
            <w:r>
              <w:rPr>
                <w:rFonts w:ascii="Arial" w:eastAsia="Arial" w:hAnsi="Arial" w:cs="Arial"/>
                <w:sz w:val="24"/>
                <w:szCs w:val="24"/>
              </w:rPr>
              <w:t>Sex</w:t>
            </w:r>
          </w:p>
          <w:p w14:paraId="00000091" w14:textId="77777777" w:rsidR="00891A2C" w:rsidRDefault="001975C3">
            <w:pPr>
              <w:numPr>
                <w:ilvl w:val="0"/>
                <w:numId w:val="5"/>
              </w:numPr>
              <w:jc w:val="both"/>
              <w:rPr>
                <w:rFonts w:ascii="Arial" w:eastAsia="Arial" w:hAnsi="Arial" w:cs="Arial"/>
                <w:sz w:val="24"/>
                <w:szCs w:val="24"/>
              </w:rPr>
            </w:pPr>
            <w:r>
              <w:rPr>
                <w:rFonts w:ascii="Arial" w:eastAsia="Arial" w:hAnsi="Arial" w:cs="Arial"/>
                <w:sz w:val="24"/>
                <w:szCs w:val="24"/>
              </w:rPr>
              <w:t>Name</w:t>
            </w:r>
          </w:p>
          <w:p w14:paraId="00000092" w14:textId="77777777" w:rsidR="00891A2C" w:rsidRDefault="001975C3">
            <w:pPr>
              <w:numPr>
                <w:ilvl w:val="0"/>
                <w:numId w:val="5"/>
              </w:numPr>
              <w:jc w:val="both"/>
              <w:rPr>
                <w:rFonts w:ascii="Arial" w:eastAsia="Arial" w:hAnsi="Arial" w:cs="Arial"/>
                <w:sz w:val="24"/>
                <w:szCs w:val="24"/>
              </w:rPr>
            </w:pPr>
            <w:r>
              <w:rPr>
                <w:rFonts w:ascii="Arial" w:eastAsia="Arial" w:hAnsi="Arial" w:cs="Arial"/>
                <w:sz w:val="24"/>
                <w:szCs w:val="24"/>
              </w:rPr>
              <w:t>Address</w:t>
            </w:r>
          </w:p>
          <w:p w14:paraId="00000093" w14:textId="77777777" w:rsidR="00891A2C" w:rsidRDefault="001975C3">
            <w:pPr>
              <w:numPr>
                <w:ilvl w:val="0"/>
                <w:numId w:val="5"/>
              </w:numPr>
              <w:jc w:val="both"/>
              <w:rPr>
                <w:rFonts w:ascii="Arial" w:eastAsia="Arial" w:hAnsi="Arial" w:cs="Arial"/>
                <w:sz w:val="24"/>
                <w:szCs w:val="24"/>
              </w:rPr>
            </w:pPr>
            <w:r>
              <w:rPr>
                <w:rFonts w:ascii="Arial" w:eastAsia="Arial" w:hAnsi="Arial" w:cs="Arial"/>
                <w:sz w:val="24"/>
                <w:szCs w:val="24"/>
              </w:rPr>
              <w:t>Email address</w:t>
            </w:r>
          </w:p>
          <w:p w14:paraId="00000094" w14:textId="77777777" w:rsidR="00891A2C" w:rsidRDefault="001975C3">
            <w:pPr>
              <w:numPr>
                <w:ilvl w:val="0"/>
                <w:numId w:val="5"/>
              </w:numPr>
              <w:jc w:val="both"/>
              <w:rPr>
                <w:rFonts w:ascii="Arial" w:eastAsia="Arial" w:hAnsi="Arial" w:cs="Arial"/>
                <w:sz w:val="24"/>
                <w:szCs w:val="24"/>
              </w:rPr>
            </w:pPr>
            <w:r>
              <w:rPr>
                <w:rFonts w:ascii="Arial" w:eastAsia="Arial" w:hAnsi="Arial" w:cs="Arial"/>
                <w:sz w:val="24"/>
                <w:szCs w:val="24"/>
              </w:rPr>
              <w:t>Phone number</w:t>
            </w:r>
          </w:p>
          <w:p w14:paraId="00000095" w14:textId="77777777" w:rsidR="00891A2C" w:rsidRDefault="001975C3">
            <w:pPr>
              <w:numPr>
                <w:ilvl w:val="0"/>
                <w:numId w:val="5"/>
              </w:numPr>
              <w:jc w:val="both"/>
              <w:rPr>
                <w:rFonts w:ascii="Arial" w:eastAsia="Arial" w:hAnsi="Arial" w:cs="Arial"/>
                <w:sz w:val="24"/>
                <w:szCs w:val="24"/>
              </w:rPr>
            </w:pPr>
            <w:r>
              <w:rPr>
                <w:rFonts w:ascii="Arial" w:eastAsia="Arial" w:hAnsi="Arial" w:cs="Arial"/>
                <w:sz w:val="24"/>
                <w:szCs w:val="24"/>
              </w:rPr>
              <w:t>Name of individual’s organisation</w:t>
            </w:r>
          </w:p>
          <w:p w14:paraId="00000096" w14:textId="77777777" w:rsidR="00891A2C" w:rsidRDefault="001975C3">
            <w:pPr>
              <w:numPr>
                <w:ilvl w:val="0"/>
                <w:numId w:val="5"/>
              </w:numPr>
              <w:jc w:val="both"/>
              <w:rPr>
                <w:rFonts w:ascii="Arial" w:eastAsia="Arial" w:hAnsi="Arial" w:cs="Arial"/>
                <w:sz w:val="24"/>
                <w:szCs w:val="24"/>
              </w:rPr>
            </w:pPr>
            <w:r>
              <w:rPr>
                <w:rFonts w:ascii="Arial" w:eastAsia="Arial" w:hAnsi="Arial" w:cs="Arial"/>
                <w:sz w:val="24"/>
                <w:szCs w:val="24"/>
              </w:rPr>
              <w:t>Consultation responses</w:t>
            </w:r>
          </w:p>
        </w:tc>
      </w:tr>
      <w:tr w:rsidR="00891A2C" w14:paraId="4EEA5AF3" w14:textId="77777777">
        <w:trPr>
          <w:trHeight w:val="1560"/>
        </w:trPr>
        <w:tc>
          <w:tcPr>
            <w:tcW w:w="2263" w:type="dxa"/>
            <w:shd w:val="clear" w:color="auto" w:fill="auto"/>
          </w:tcPr>
          <w:p w14:paraId="00000097" w14:textId="77777777" w:rsidR="00891A2C" w:rsidRDefault="001975C3">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00000098" w14:textId="77777777" w:rsidR="00891A2C" w:rsidRDefault="001975C3">
            <w:pPr>
              <w:rPr>
                <w:rFonts w:ascii="Arial" w:eastAsia="Arial" w:hAnsi="Arial" w:cs="Arial"/>
                <w:sz w:val="24"/>
                <w:szCs w:val="24"/>
              </w:rPr>
            </w:pPr>
            <w:r>
              <w:rPr>
                <w:rFonts w:ascii="Arial" w:eastAsia="Arial" w:hAnsi="Arial" w:cs="Arial"/>
                <w:sz w:val="24"/>
                <w:szCs w:val="24"/>
              </w:rPr>
              <w:t>The data subjects are any individual or organisation who chooses to respond to this public consultation. This is most likely to consist of:</w:t>
            </w:r>
          </w:p>
          <w:p w14:paraId="00000099" w14:textId="77777777" w:rsidR="00891A2C" w:rsidRDefault="001975C3">
            <w:pPr>
              <w:numPr>
                <w:ilvl w:val="0"/>
                <w:numId w:val="1"/>
              </w:numPr>
              <w:rPr>
                <w:rFonts w:ascii="Arial" w:eastAsia="Arial" w:hAnsi="Arial" w:cs="Arial"/>
                <w:sz w:val="24"/>
                <w:szCs w:val="24"/>
              </w:rPr>
            </w:pPr>
            <w:r>
              <w:rPr>
                <w:rFonts w:ascii="Arial" w:eastAsia="Arial" w:hAnsi="Arial" w:cs="Arial"/>
                <w:sz w:val="24"/>
                <w:szCs w:val="24"/>
              </w:rPr>
              <w:t>Members of the public, particul</w:t>
            </w:r>
            <w:r>
              <w:rPr>
                <w:rFonts w:ascii="Arial" w:eastAsia="Arial" w:hAnsi="Arial" w:cs="Arial"/>
                <w:sz w:val="24"/>
                <w:szCs w:val="24"/>
              </w:rPr>
              <w:t>arly those with a direct personal connection to the policy area (e.g. disabled people)</w:t>
            </w:r>
          </w:p>
          <w:p w14:paraId="0000009A" w14:textId="77777777" w:rsidR="00891A2C" w:rsidRDefault="001975C3">
            <w:pPr>
              <w:numPr>
                <w:ilvl w:val="0"/>
                <w:numId w:val="1"/>
              </w:numPr>
              <w:rPr>
                <w:rFonts w:ascii="Arial" w:eastAsia="Arial" w:hAnsi="Arial" w:cs="Arial"/>
                <w:sz w:val="24"/>
                <w:szCs w:val="24"/>
              </w:rPr>
            </w:pPr>
            <w:r>
              <w:rPr>
                <w:rFonts w:ascii="Arial" w:eastAsia="Arial" w:hAnsi="Arial" w:cs="Arial"/>
                <w:sz w:val="24"/>
                <w:szCs w:val="24"/>
              </w:rPr>
              <w:t xml:space="preserve">Organisations with an interest in the policy proposals (e.g. disabled people’s organisations, employee or employer representative organisations, employers) </w:t>
            </w:r>
          </w:p>
        </w:tc>
      </w:tr>
      <w:tr w:rsidR="00891A2C" w14:paraId="0FAFFC57" w14:textId="77777777">
        <w:trPr>
          <w:trHeight w:val="1660"/>
        </w:trPr>
        <w:tc>
          <w:tcPr>
            <w:tcW w:w="2263" w:type="dxa"/>
            <w:shd w:val="clear" w:color="auto" w:fill="auto"/>
          </w:tcPr>
          <w:p w14:paraId="0000009B" w14:textId="77777777" w:rsidR="00891A2C" w:rsidRDefault="001975C3">
            <w:pPr>
              <w:rPr>
                <w:rFonts w:ascii="Arial" w:eastAsia="Arial" w:hAnsi="Arial" w:cs="Arial"/>
                <w:sz w:val="24"/>
                <w:szCs w:val="24"/>
              </w:rPr>
            </w:pPr>
            <w:r>
              <w:rPr>
                <w:rFonts w:ascii="Arial" w:eastAsia="Arial" w:hAnsi="Arial" w:cs="Arial"/>
                <w:sz w:val="24"/>
                <w:szCs w:val="24"/>
              </w:rPr>
              <w:lastRenderedPageBreak/>
              <w:t>Plan for return and destruction of the data once the Processing is complete</w:t>
            </w:r>
          </w:p>
          <w:p w14:paraId="0000009C" w14:textId="77777777" w:rsidR="00891A2C" w:rsidRDefault="001975C3">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0000009D" w14:textId="77777777" w:rsidR="00891A2C" w:rsidRDefault="001975C3">
            <w:pPr>
              <w:widowControl w:val="0"/>
              <w:rPr>
                <w:rFonts w:ascii="Arial" w:eastAsia="Arial" w:hAnsi="Arial" w:cs="Arial"/>
                <w:sz w:val="24"/>
                <w:szCs w:val="24"/>
              </w:rPr>
            </w:pPr>
            <w:r>
              <w:rPr>
                <w:rFonts w:ascii="Arial" w:eastAsia="Arial" w:hAnsi="Arial" w:cs="Arial"/>
                <w:sz w:val="24"/>
                <w:szCs w:val="24"/>
              </w:rPr>
              <w:t>The supplier must delete all data at the end of the contract. They must confirm in writing that the</w:t>
            </w:r>
            <w:r>
              <w:rPr>
                <w:rFonts w:ascii="Arial" w:eastAsia="Arial" w:hAnsi="Arial" w:cs="Arial"/>
                <w:sz w:val="24"/>
                <w:szCs w:val="24"/>
              </w:rPr>
              <w:t>y have done so, within 5 working days of the end of the contract.</w:t>
            </w:r>
          </w:p>
        </w:tc>
      </w:tr>
    </w:tbl>
    <w:p w14:paraId="0000009E" w14:textId="77777777" w:rsidR="00891A2C" w:rsidRDefault="00891A2C">
      <w:pPr>
        <w:rPr>
          <w:rFonts w:ascii="Arial" w:eastAsia="Arial" w:hAnsi="Arial" w:cs="Arial"/>
          <w:b/>
          <w:sz w:val="24"/>
          <w:szCs w:val="24"/>
        </w:rPr>
      </w:pPr>
    </w:p>
    <w:p w14:paraId="0000009F" w14:textId="77777777" w:rsidR="00891A2C" w:rsidRDefault="00891A2C">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bookmarkStart w:id="16" w:name="_heading=h.30j0zll" w:colFirst="0" w:colLast="0"/>
      <w:bookmarkEnd w:id="16"/>
    </w:p>
    <w:p w14:paraId="000000A0" w14:textId="77777777" w:rsidR="00891A2C" w:rsidRDefault="00891A2C">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000000A1" w14:textId="77777777" w:rsidR="00891A2C" w:rsidRDefault="00891A2C">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891A2C">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7F360" w14:textId="77777777" w:rsidR="001975C3" w:rsidRDefault="001975C3">
      <w:pPr>
        <w:spacing w:after="0" w:line="240" w:lineRule="auto"/>
      </w:pPr>
      <w:r>
        <w:separator/>
      </w:r>
    </w:p>
  </w:endnote>
  <w:endnote w:type="continuationSeparator" w:id="0">
    <w:p w14:paraId="20C4156A" w14:textId="77777777" w:rsidR="001975C3" w:rsidRDefault="00197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A5" w14:textId="77777777" w:rsidR="00891A2C" w:rsidRDefault="001975C3">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14:paraId="000000A6" w14:textId="6C8B7E99" w:rsidR="00891A2C" w:rsidRDefault="001975C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0020A">
      <w:rPr>
        <w:rFonts w:ascii="Arial" w:eastAsia="Arial" w:hAnsi="Arial" w:cs="Arial"/>
        <w:color w:val="000000"/>
        <w:sz w:val="20"/>
        <w:szCs w:val="20"/>
      </w:rPr>
      <w:fldChar w:fldCharType="separate"/>
    </w:r>
    <w:r w:rsidR="0020020A">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A7" w14:textId="77777777" w:rsidR="00891A2C" w:rsidRDefault="001975C3">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A8" w14:textId="77777777" w:rsidR="00891A2C" w:rsidRDefault="001975C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A9" w14:textId="77777777" w:rsidR="00891A2C" w:rsidRDefault="001975C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AA" w14:textId="77777777" w:rsidR="00891A2C" w:rsidRDefault="001975C3">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67F09" w14:textId="77777777" w:rsidR="001975C3" w:rsidRDefault="001975C3">
      <w:pPr>
        <w:spacing w:after="0" w:line="240" w:lineRule="auto"/>
      </w:pPr>
      <w:r>
        <w:separator/>
      </w:r>
    </w:p>
  </w:footnote>
  <w:footnote w:type="continuationSeparator" w:id="0">
    <w:p w14:paraId="621570B3" w14:textId="77777777" w:rsidR="001975C3" w:rsidRDefault="001975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A2" w14:textId="77777777" w:rsidR="00891A2C" w:rsidRDefault="001975C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00000A3" w14:textId="77777777" w:rsidR="00891A2C" w:rsidRDefault="001975C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A4" w14:textId="77777777" w:rsidR="00891A2C" w:rsidRDefault="001975C3">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-13328</wp:posOffset>
          </wp:positionV>
          <wp:extent cx="849085" cy="685627"/>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2E49B0"/>
    <w:multiLevelType w:val="multilevel"/>
    <w:tmpl w:val="5F20B3E0"/>
    <w:lvl w:ilvl="0">
      <w:start w:val="1"/>
      <w:numFmt w:val="decimal"/>
      <w:pStyle w:val="TLTLevel1"/>
      <w:lvlText w:val="Schedule %1"/>
      <w:lvlJc w:val="left"/>
      <w:pPr>
        <w:ind w:left="360" w:hanging="360"/>
      </w:pPr>
      <w:rPr>
        <w:color w:val="000000"/>
      </w:rPr>
    </w:lvl>
    <w:lvl w:ilvl="1">
      <w:start w:val="1"/>
      <w:numFmt w:val="decimal"/>
      <w:pStyle w:val="TLTLevel2"/>
      <w:lvlText w:val="Part %2"/>
      <w:lvlJc w:val="left"/>
      <w:pPr>
        <w:ind w:left="357" w:hanging="357"/>
      </w:pPr>
    </w:lvl>
    <w:lvl w:ilvl="2">
      <w:start w:val="1"/>
      <w:numFmt w:val="decimal"/>
      <w:pStyle w:val="TLTLevel3"/>
      <w:lvlText w:val="%3."/>
      <w:lvlJc w:val="left"/>
      <w:pPr>
        <w:ind w:left="720" w:hanging="720"/>
      </w:pPr>
      <w:rPr>
        <w:b w:val="0"/>
        <w:color w:val="000000"/>
      </w:rPr>
    </w:lvl>
    <w:lvl w:ilvl="3">
      <w:start w:val="1"/>
      <w:numFmt w:val="decimal"/>
      <w:pStyle w:val="TLTLevel4"/>
      <w:lvlText w:val="%3.%4"/>
      <w:lvlJc w:val="left"/>
      <w:pPr>
        <w:ind w:left="720" w:hanging="720"/>
      </w:pPr>
      <w:rPr>
        <w:b w:val="0"/>
        <w:color w:val="000000"/>
      </w:rPr>
    </w:lvl>
    <w:lvl w:ilvl="4">
      <w:start w:val="1"/>
      <w:numFmt w:val="lowerLetter"/>
      <w:pStyle w:val="TLTLevel5"/>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1EF7F84"/>
    <w:multiLevelType w:val="multilevel"/>
    <w:tmpl w:val="787234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23313A3"/>
    <w:multiLevelType w:val="multilevel"/>
    <w:tmpl w:val="2B14EF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1037AE0"/>
    <w:multiLevelType w:val="multilevel"/>
    <w:tmpl w:val="509E4542"/>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73677BA9"/>
    <w:multiLevelType w:val="multilevel"/>
    <w:tmpl w:val="B218AEFE"/>
    <w:lvl w:ilvl="0">
      <w:start w:val="1"/>
      <w:numFmt w:val="bullet"/>
      <w:pStyle w:val="Schedule"/>
      <w:lvlText w:val="●"/>
      <w:lvlJc w:val="left"/>
      <w:pPr>
        <w:ind w:left="720" w:hanging="360"/>
      </w:pPr>
      <w:rPr>
        <w:u w:val="none"/>
      </w:rPr>
    </w:lvl>
    <w:lvl w:ilvl="1">
      <w:start w:val="1"/>
      <w:numFmt w:val="bullet"/>
      <w:pStyle w:val="Part"/>
      <w:lvlText w:val="○"/>
      <w:lvlJc w:val="left"/>
      <w:pPr>
        <w:ind w:left="1440" w:hanging="360"/>
      </w:pPr>
      <w:rPr>
        <w:u w:val="none"/>
      </w:rPr>
    </w:lvl>
    <w:lvl w:ilvl="2">
      <w:start w:val="1"/>
      <w:numFmt w:val="bullet"/>
      <w:pStyle w:val="ScheduleTitleClause"/>
      <w:lvlText w:val="■"/>
      <w:lvlJc w:val="left"/>
      <w:pPr>
        <w:ind w:left="2160" w:hanging="360"/>
      </w:pPr>
      <w:rPr>
        <w:u w:val="none"/>
      </w:rPr>
    </w:lvl>
    <w:lvl w:ilvl="3">
      <w:start w:val="1"/>
      <w:numFmt w:val="bullet"/>
      <w:pStyle w:val="ScheduleUntitledsubclause1"/>
      <w:lvlText w:val="●"/>
      <w:lvlJc w:val="left"/>
      <w:pPr>
        <w:ind w:left="2880" w:hanging="360"/>
      </w:pPr>
      <w:rPr>
        <w:u w:val="none"/>
      </w:rPr>
    </w:lvl>
    <w:lvl w:ilvl="4">
      <w:start w:val="1"/>
      <w:numFmt w:val="bullet"/>
      <w:pStyle w:val="ScheduleUntitledsubclause2"/>
      <w:lvlText w:val="○"/>
      <w:lvlJc w:val="left"/>
      <w:pPr>
        <w:ind w:left="3600" w:hanging="360"/>
      </w:pPr>
      <w:rPr>
        <w:u w:val="none"/>
      </w:rPr>
    </w:lvl>
    <w:lvl w:ilvl="5">
      <w:start w:val="1"/>
      <w:numFmt w:val="bullet"/>
      <w:pStyle w:val="ScheduleUntitledsubclause3"/>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A2C"/>
    <w:rsid w:val="001975C3"/>
    <w:rsid w:val="0020020A"/>
    <w:rsid w:val="00454884"/>
    <w:rsid w:val="00891A2C"/>
    <w:rsid w:val="00AD41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BAFC43-9186-40B3-8001-D773BE8A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moKslfQDXbwtKDOqf1Pv8GfC1g==">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2712</Words>
  <Characters>15464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Redford</dc:creator>
  <cp:lastModifiedBy>Chris Redford</cp:lastModifiedBy>
  <cp:revision>2</cp:revision>
  <dcterms:created xsi:type="dcterms:W3CDTF">2025-04-30T10:39:00Z</dcterms:created>
  <dcterms:modified xsi:type="dcterms:W3CDTF">2025-04-30T10:39:00Z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